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2EBB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第七章 拟签订采购合同文本</w:t>
      </w:r>
    </w:p>
    <w:p w14:paraId="44E68B3A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0B482879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75448FB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F5090D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0" w:name="_Toc24059"/>
      <w:bookmarkStart w:id="1" w:name="_Toc17016"/>
      <w:bookmarkStart w:id="2" w:name="_Toc27743"/>
      <w:bookmarkStart w:id="3" w:name="_Toc3029"/>
      <w:bookmarkStart w:id="4" w:name="_Toc2232"/>
      <w:r>
        <w:rPr>
          <w:rFonts w:eastAsia="仿宋"/>
          <w:b/>
          <w:sz w:val="24"/>
        </w:rPr>
        <w:t>一、合同组成部分</w:t>
      </w:r>
      <w:bookmarkEnd w:id="0"/>
      <w:bookmarkEnd w:id="1"/>
      <w:bookmarkEnd w:id="2"/>
      <w:bookmarkEnd w:id="3"/>
      <w:bookmarkEnd w:id="4"/>
    </w:p>
    <w:p w14:paraId="45177C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34BD726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2F42C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4C5BD9E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14C3BD8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CBF46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2E4B349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5" w:name="_Toc21631"/>
      <w:bookmarkStart w:id="6" w:name="_Toc21551"/>
      <w:bookmarkStart w:id="7" w:name="_Toc23292"/>
      <w:bookmarkStart w:id="8" w:name="_Toc20892"/>
      <w:bookmarkStart w:id="9" w:name="_Toc2609"/>
      <w:r>
        <w:rPr>
          <w:rFonts w:eastAsia="仿宋"/>
          <w:b/>
          <w:sz w:val="24"/>
        </w:rPr>
        <w:t>二、</w:t>
      </w:r>
      <w:bookmarkEnd w:id="5"/>
      <w:bookmarkEnd w:id="6"/>
      <w:bookmarkEnd w:id="7"/>
      <w:bookmarkEnd w:id="8"/>
      <w:bookmarkEnd w:id="9"/>
      <w:r>
        <w:rPr>
          <w:rFonts w:eastAsia="仿宋"/>
          <w:b/>
          <w:sz w:val="24"/>
        </w:rPr>
        <w:t>合同金额</w:t>
      </w:r>
    </w:p>
    <w:p w14:paraId="166E587D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622690E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26C6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AECB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E65F6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CD6D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35572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DBBA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56B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46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492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FB3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A6E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9A6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767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46B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DC6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3A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5F5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99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9A3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E7A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7E8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824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67B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C62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050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1DA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25B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964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F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40F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BB6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33E7">
            <w:pPr>
              <w:pStyle w:val="6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32A5941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0" w:name="_Toc23571"/>
      <w:bookmarkStart w:id="11" w:name="_Toc22618"/>
      <w:bookmarkStart w:id="12" w:name="_Toc10340"/>
      <w:bookmarkStart w:id="13" w:name="_Toc1814"/>
      <w:bookmarkStart w:id="14" w:name="_Toc14984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56F38D0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0"/>
      <w:bookmarkEnd w:id="11"/>
      <w:bookmarkEnd w:id="12"/>
      <w:bookmarkEnd w:id="13"/>
      <w:bookmarkEnd w:id="14"/>
    </w:p>
    <w:p w14:paraId="1863796B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1</w:t>
      </w:r>
      <w:r>
        <w:rPr>
          <w:rFonts w:hint="eastAsia"/>
          <w:b/>
          <w:bCs/>
          <w:sz w:val="24"/>
          <w:lang w:val="en-US" w:eastAsia="zh-CN"/>
        </w:rPr>
        <w:t>-1</w:t>
      </w:r>
      <w:r>
        <w:rPr>
          <w:rFonts w:eastAsia="仿宋"/>
          <w:b/>
          <w:bCs/>
          <w:sz w:val="24"/>
        </w:rPr>
        <w:t>.付款方式：</w:t>
      </w:r>
    </w:p>
    <w:p w14:paraId="1FB4D3BB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整体项目验收通过、乙方提供发票经财务审核后，达到付款条件起30个工作日内，支付合同总金额的</w:t>
      </w:r>
      <w:r>
        <w:rPr>
          <w:rFonts w:hint="eastAsia"/>
          <w:sz w:val="24"/>
          <w:lang w:val="en-US" w:eastAsia="zh-CN"/>
        </w:rPr>
        <w:t>100</w:t>
      </w:r>
      <w:r>
        <w:rPr>
          <w:rFonts w:hint="eastAsia" w:eastAsia="仿宋"/>
          <w:sz w:val="24"/>
        </w:rPr>
        <w:t>.0%</w:t>
      </w:r>
    </w:p>
    <w:p w14:paraId="54FE89BD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1</w:t>
      </w:r>
      <w:r>
        <w:rPr>
          <w:rFonts w:hint="eastAsia"/>
          <w:b/>
          <w:bCs/>
          <w:sz w:val="24"/>
          <w:lang w:val="en-US" w:eastAsia="zh-CN"/>
        </w:rPr>
        <w:t>-2</w:t>
      </w:r>
      <w:r>
        <w:rPr>
          <w:rFonts w:eastAsia="仿宋"/>
          <w:b/>
          <w:bCs/>
          <w:sz w:val="24"/>
        </w:rPr>
        <w:t>.付款方式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中</w:t>
      </w:r>
      <w:bookmarkStart w:id="16" w:name="_GoBack"/>
      <w:bookmarkEnd w:id="16"/>
      <w:r>
        <w:rPr>
          <w:rFonts w:hint="eastAsia"/>
          <w:b/>
          <w:bCs/>
          <w:sz w:val="24"/>
          <w:lang w:val="en-US" w:eastAsia="zh-CN"/>
        </w:rPr>
        <w:t>小微企业适用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eastAsia="仿宋"/>
          <w:b/>
          <w:bCs/>
          <w:sz w:val="24"/>
        </w:rPr>
        <w:t>：</w:t>
      </w:r>
    </w:p>
    <w:p w14:paraId="418BB0C8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预付款，合同签订、乙方提供发票经财务审核后，达到付款条件起30个工作日内，支付合同总金额的40.0%</w:t>
      </w:r>
    </w:p>
    <w:p w14:paraId="75DB412B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进度款，经核查硬件设备与技术人员均按要求到达现场、乙方提供发票经财务审核后，达到付款条件起30个工作日内，支付合同总金额的30.0%</w:t>
      </w:r>
    </w:p>
    <w:p w14:paraId="363C60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进度款，整体项目验收通过、乙方提供发票经财务审核后，达到付款条件起30个工作日内，支付合同总金额的30.0%</w:t>
      </w:r>
    </w:p>
    <w:p w14:paraId="3E55115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2.结算方式：银行转账</w:t>
      </w:r>
    </w:p>
    <w:p w14:paraId="79F72C2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4713D4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6DD366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403BAF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</w:t>
      </w:r>
      <w:r>
        <w:rPr>
          <w:rFonts w:hint="eastAsia"/>
          <w:sz w:val="24"/>
          <w:lang w:val="en-US" w:eastAsia="zh-CN"/>
        </w:rPr>
        <w:t>收货</w:t>
      </w:r>
      <w:r>
        <w:rPr>
          <w:rFonts w:eastAsia="仿宋"/>
          <w:sz w:val="24"/>
        </w:rPr>
        <w:t>通知后，应按招标文件的需求进行核实，如发现不符合合同规定或短缺，及时提出，甲方在收到货后，组织人员按提供的技术参数指标进行验收。</w:t>
      </w:r>
    </w:p>
    <w:p w14:paraId="64F5F61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5A1911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3F4F19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4CAF282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eastAsia="仿宋"/>
          <w:sz w:val="24"/>
        </w:rPr>
        <w:t>乙方</w:t>
      </w:r>
      <w:r>
        <w:rPr>
          <w:rFonts w:hint="eastAsia" w:eastAsia="仿宋"/>
          <w:sz w:val="24"/>
        </w:rPr>
        <w:t>应在同等条件下提供优先服务。</w:t>
      </w:r>
    </w:p>
    <w:p w14:paraId="7CBC71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 w:eastAsia="仿宋"/>
          <w:sz w:val="24"/>
        </w:rPr>
        <w:t>运维期间，</w:t>
      </w:r>
      <w:r>
        <w:rPr>
          <w:rFonts w:eastAsia="仿宋"/>
          <w:sz w:val="24"/>
        </w:rPr>
        <w:t>乙方</w:t>
      </w:r>
      <w:r>
        <w:rPr>
          <w:rFonts w:hint="eastAsia" w:eastAsia="仿宋"/>
          <w:sz w:val="24"/>
        </w:rPr>
        <w:t>不得以任何理由中断或降低运维服务标准。</w:t>
      </w:r>
    </w:p>
    <w:p w14:paraId="7DB6E78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eastAsia="仿宋"/>
          <w:sz w:val="24"/>
        </w:rPr>
        <w:t>乙方</w:t>
      </w:r>
      <w:r>
        <w:rPr>
          <w:rFonts w:hint="eastAsia" w:eastAsia="仿宋"/>
          <w:sz w:val="24"/>
        </w:rPr>
        <w:t>需严格遵守采购人的各项规章制度，保守采购人的商业秘密和慢病患者隐私数据，未经采购人书面同意，不得向任何第三方泄露相关信息，否则承担相应的法律责任。</w:t>
      </w:r>
    </w:p>
    <w:p w14:paraId="71145D0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/>
          <w:sz w:val="24"/>
          <w:lang w:val="en-US" w:eastAsia="zh-CN"/>
        </w:rPr>
        <w:t>6.</w:t>
      </w:r>
      <w:r>
        <w:rPr>
          <w:rFonts w:hint="eastAsia" w:eastAsia="仿宋"/>
          <w:sz w:val="24"/>
        </w:rPr>
        <w:t>本项目不允许转包、分包，如发现供应商转包、分包，采购人有权单方面解除合同，并没收履约保证金。</w:t>
      </w:r>
    </w:p>
    <w:p w14:paraId="0A82002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</w:t>
      </w:r>
      <w:r>
        <w:rPr>
          <w:rFonts w:hint="eastAsia" w:eastAsia="仿宋"/>
          <w:b/>
          <w:sz w:val="24"/>
        </w:rPr>
        <w:t>服务地点</w:t>
      </w:r>
      <w:r>
        <w:rPr>
          <w:rFonts w:eastAsia="仿宋"/>
          <w:b/>
          <w:sz w:val="24"/>
        </w:rPr>
        <w:t>及</w:t>
      </w:r>
      <w:r>
        <w:rPr>
          <w:rFonts w:hint="eastAsia"/>
          <w:b/>
          <w:sz w:val="24"/>
          <w:lang w:val="en-US" w:eastAsia="zh-CN"/>
        </w:rPr>
        <w:t>服务</w:t>
      </w:r>
      <w:r>
        <w:rPr>
          <w:rFonts w:eastAsia="仿宋"/>
          <w:b/>
          <w:sz w:val="24"/>
        </w:rPr>
        <w:t>期：</w:t>
      </w:r>
    </w:p>
    <w:p w14:paraId="106D20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</w:t>
      </w:r>
      <w:r>
        <w:rPr>
          <w:rFonts w:hint="eastAsia" w:eastAsia="仿宋"/>
          <w:b/>
          <w:sz w:val="24"/>
        </w:rPr>
        <w:t>服务地点</w:t>
      </w:r>
      <w:r>
        <w:rPr>
          <w:rFonts w:eastAsia="仿宋"/>
          <w:b/>
          <w:sz w:val="24"/>
        </w:rPr>
        <w:t>：</w:t>
      </w:r>
      <w:r>
        <w:rPr>
          <w:rFonts w:hint="eastAsia" w:eastAsia="仿宋"/>
          <w:b/>
          <w:sz w:val="24"/>
        </w:rPr>
        <w:t>采购人指定地点</w:t>
      </w:r>
      <w:r>
        <w:rPr>
          <w:rFonts w:eastAsia="仿宋"/>
          <w:b/>
          <w:sz w:val="24"/>
        </w:rPr>
        <w:t>。</w:t>
      </w:r>
    </w:p>
    <w:p w14:paraId="1B3C695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（二）</w:t>
      </w:r>
      <w:r>
        <w:rPr>
          <w:rFonts w:hint="eastAsia" w:eastAsia="仿宋"/>
          <w:b/>
          <w:sz w:val="24"/>
        </w:rPr>
        <w:t>服务期限</w:t>
      </w:r>
      <w:r>
        <w:rPr>
          <w:rFonts w:eastAsia="仿宋"/>
          <w:b/>
          <w:sz w:val="24"/>
        </w:rPr>
        <w:t>：</w:t>
      </w:r>
    </w:p>
    <w:p w14:paraId="5005212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1、建设周期：合同签订后60天完成建设工作。</w:t>
      </w:r>
    </w:p>
    <w:p w14:paraId="346423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2、运维保障服务期：自验收合格之日起3年。</w:t>
      </w:r>
    </w:p>
    <w:p w14:paraId="3918D1B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3、质量保修范围和保修期：整个项⽬⾃验收合格之⽇起3年（硬件原⼚质保及配套软件免费升级）</w:t>
      </w:r>
      <w:r>
        <w:rPr>
          <w:rFonts w:eastAsia="仿宋"/>
          <w:b/>
          <w:sz w:val="24"/>
        </w:rPr>
        <w:t>。</w:t>
      </w:r>
    </w:p>
    <w:p w14:paraId="16B56D27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5" w:name="_Toc19515388"/>
      <w:r>
        <w:rPr>
          <w:rFonts w:eastAsia="仿宋"/>
          <w:b/>
          <w:sz w:val="24"/>
        </w:rPr>
        <w:t>五、包装及运输</w:t>
      </w:r>
      <w:bookmarkEnd w:id="15"/>
    </w:p>
    <w:p w14:paraId="790DA57E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1F37D446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1C08627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6F3EDF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FE1C3D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71FD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2A592E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76065AA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79CCAE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4E08456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7BA4D6D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（三）乙方提供货物必须是原品牌制造厂生产的最新产品，</w:t>
      </w:r>
      <w:r>
        <w:rPr>
          <w:rFonts w:hint="eastAsia" w:eastAsia="仿宋"/>
          <w:sz w:val="24"/>
        </w:rPr>
        <w:t>设备到货日期距离设备生产日期小于等于6个月</w:t>
      </w:r>
      <w:r>
        <w:rPr>
          <w:rFonts w:eastAsia="仿宋"/>
          <w:sz w:val="24"/>
        </w:rPr>
        <w:t>。</w:t>
      </w:r>
    </w:p>
    <w:p w14:paraId="6DFCE76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 w:eastAsia="仿宋"/>
          <w:b/>
          <w:sz w:val="24"/>
          <w:lang w:eastAsia="zh-CN"/>
        </w:rPr>
      </w:pPr>
      <w:r>
        <w:rPr>
          <w:rFonts w:eastAsia="仿宋"/>
          <w:b/>
          <w:sz w:val="24"/>
        </w:rPr>
        <w:t>八、</w:t>
      </w:r>
      <w:r>
        <w:rPr>
          <w:rFonts w:hint="eastAsia"/>
          <w:b/>
          <w:sz w:val="24"/>
          <w:lang w:val="en-US" w:eastAsia="zh-CN"/>
        </w:rPr>
        <w:t>运维要求</w:t>
      </w:r>
    </w:p>
    <w:p w14:paraId="6070242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运维服务总体要求</w:t>
      </w:r>
    </w:p>
    <w:p w14:paraId="026520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1.1、建立标准化、规范化的运维服务体系，制定完善的服务流程、故障处理预案、数据安全管理制度，确保运维工作可追溯、可考核。</w:t>
      </w:r>
    </w:p>
    <w:p w14:paraId="1B02E4A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1.2、运维期间需保障系统全年可用率≥99.9%，核心业务功能无间断运行；硬件设备故障修复及时率≥98%，软件故障响应解决率100%。</w:t>
      </w:r>
    </w:p>
    <w:p w14:paraId="575592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1.3、严格遵循《GB/T 22239-2019 信息安全技术网络安全等级保护基本要求》《GB/T 39786-2021 信息安全技术信息系统密码应用基本要求》等国家标准，保障系统数据安全、网络安全、应用安全。</w:t>
      </w:r>
    </w:p>
    <w:p w14:paraId="2E6095A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1.4、运维服务包含日常保障、故障处理、系统优化、数据管理、培训支持等全维度服务，不额外收取合同约定外的费用。</w:t>
      </w:r>
    </w:p>
    <w:p w14:paraId="022DCD0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软件系统运维服务要求</w:t>
      </w:r>
    </w:p>
    <w:p w14:paraId="3E8CFA73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2.1、日常运行保障</w:t>
      </w:r>
    </w:p>
    <w:p w14:paraId="1058DAA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（1）7×24 小时监控系统运行状态，包括服务器资源占用、接口响应速度、数据库运行状态、小程序访问稳定性等，每小时生成运行监控日志，发现异常及时预警并处置。</w:t>
      </w:r>
    </w:p>
    <w:p w14:paraId="3EF72E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（2）定期对系统核心功能进行巡检，涵盖数据采集、患者管理、筛查随访、健康方案制定、AI 智能随访、数据统计分析等所有模块，确保功能正常、操作流畅，形成每日巡检记录。</w:t>
      </w:r>
    </w:p>
    <w:p w14:paraId="78FC7BE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（3）定期对系统数据库进行备份，采用本地备份 + 异地备份双重方式，备份文件保存期限≥6 个月；每月进行备份数据恢复测试，确保备份数据可用，形成备份与恢复测试记录。</w:t>
      </w:r>
    </w:p>
    <w:p w14:paraId="65499E1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（4）定期对系统进行性能优化，包括数据库索引优化、SQL 语句优化、缓存策略调整等，确保系统满足峰值 80 笔 / 秒的实时查询、200 笔 / 分钟批量数据交换的性能要求，千万级数据查询响应时间符合原系统技术标准。</w:t>
      </w:r>
    </w:p>
    <w:p w14:paraId="31FCA9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2.2、故障处理服务</w:t>
      </w:r>
    </w:p>
    <w:p w14:paraId="7EF1397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（1）建立7×24 小时故障响应机制，采购人通过电话、工单、微信等方式报修后，软件运维工程师 5 分钟内响应，一般故障（如操作报错、功能卡顿）2 小时内解决，重大故障（如系统瘫痪、核心功能失效）4 小时内解决，极特殊故障 24 小时内给出解决方案并持续跟进至解决。</w:t>
      </w:r>
    </w:p>
    <w:p w14:paraId="716F381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（2）故障解决后，需进行 3 天跟踪观察，确认故障无复发，并向采购人提交故障分析报告，说明故障原因、处理措施、预防方案，避免同类故障再次发生。</w:t>
      </w:r>
    </w:p>
    <w:p w14:paraId="50A68E3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2.3、数据管理服务</w:t>
      </w:r>
    </w:p>
    <w:p w14:paraId="37C26997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（1）定期对系统数据进行质量核查，包括数据完整性、准确性、规范性，及时发现并处理缺失值、重复值、逻辑错误数据，确保数据质量符合原系统数据管理标准。</w:t>
      </w:r>
    </w:p>
    <w:p w14:paraId="4F75B5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（2）提供专业的数据清洗、整合、脱敏服务，针对慢病患者隐私数据（如身份证号、联系方式）进行脱敏处理，严格遵守数据隐私保护相关法律法规，防止数据泄露。</w:t>
      </w:r>
    </w:p>
    <w:p w14:paraId="1B0D5EA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（3）建立数据安全应急预案，如发生数据泄露、丢失、篡改等情况，需立即启动应急预案，采取技术措施止损，并在 1 小时内向采购人报告，同时协助采购人做好后续处置工作。</w:t>
      </w:r>
    </w:p>
    <w:p w14:paraId="38D1B17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硬件设备运维服务要求</w:t>
      </w:r>
    </w:p>
    <w:p w14:paraId="74A283D1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3.1、日常监测与维护</w:t>
      </w:r>
    </w:p>
    <w:p w14:paraId="345DD30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负责监控硬件设备的运行参数，如服务器 CPU、内存、硬盘占用率，网络设备带宽利用率，物联网设备电池电量、数据传输状态等，发现参数异常及时预警并处置。</w:t>
      </w:r>
    </w:p>
    <w:p w14:paraId="48B2529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3.2、故障修复与更换</w:t>
      </w:r>
    </w:p>
    <w:p w14:paraId="75F56FE5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（1）硬件设备配件如出现自然损坏，易损耗材（如血糖仪试纸、血压计电池）按采购人需求供应，价格不高于市场同期零售价。</w:t>
      </w:r>
    </w:p>
    <w:p w14:paraId="014973C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（2）设备故障修复后，需进行性能测试，确保设备各项参数符合原招标技术要求，并经采购人验收合格后方可投入使用。</w:t>
      </w:r>
    </w:p>
    <w:p w14:paraId="629923B5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（3）智能物联网设备：定期对智能血压计、血糖仪进行数据校准，确保测量数据准确，校准周期≤6 个月；保障设备与慢病管理系统的数据传输稳定，及时解决数据上传失败、延迟等问题。</w:t>
      </w:r>
    </w:p>
    <w:p w14:paraId="72B9C9D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  <w:lang w:eastAsia="zh-CN"/>
        </w:rPr>
        <w:t>）运维服务团队配置要求</w:t>
      </w:r>
    </w:p>
    <w:p w14:paraId="279F6F4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.1、项目配备专职项目负责人1名，负责项目运维统筹、沟通协调、服务质量监督，需常驻项目所在地，采购人可随时约谈。</w:t>
      </w:r>
    </w:p>
    <w:p w14:paraId="7A803AF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.2、配备软件运维工程师≥1名，负责立解决软件功能故障、系统兼容性问题。</w:t>
      </w:r>
    </w:p>
    <w:p w14:paraId="614E5C17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.3、配备硬件运维工程师≥1名，负责服务器、网络设备、医疗物联网设备运维，服务器集群、防火墙、网闸、智能血压计/血糖仪等设备的调试与故障修复。</w:t>
      </w:r>
    </w:p>
    <w:p w14:paraId="047A727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  <w:lang w:eastAsia="zh-CN"/>
        </w:rPr>
        <w:t>.4、运维团队人员保持稳定，如需更换核心人员，需提前15个工作日向采购人提交书面申请，经采购人同意后方可更换。</w:t>
      </w:r>
      <w:r>
        <w:rPr>
          <w:rFonts w:eastAsia="仿宋"/>
          <w:sz w:val="24"/>
        </w:rPr>
        <w:t>。</w:t>
      </w:r>
    </w:p>
    <w:p w14:paraId="13FF59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0124D7B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2864F8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6CAD591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6388B51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培训与技术支持服务要求</w:t>
      </w:r>
    </w:p>
    <w:p w14:paraId="43CAE331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（1）运维期间为采购人提供免费的技术培训服务，包括系统操作培训、设备使用培训、故障自查培训等，培训方式分为集中培训、上门培训、线上培训，根据采购人需求灵活安排。</w:t>
      </w:r>
    </w:p>
    <w:p w14:paraId="3A01784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（2）项目启动后 1 个月内，组织一次全员集中培训，覆盖医护人员、系统管理员、设备使用人员等，培训内容包括系统全功能操作、硬件设备使用与维护、常见问题自查方法等，确保参训人员能独立操作系统和使用设备。</w:t>
      </w:r>
    </w:p>
    <w:p w14:paraId="1B9C0B0A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（3）针对新入职人员、业务调整需求，提供定制化上门培训，培训次数不限，直至参训人员熟练掌握相关操作。</w:t>
      </w:r>
    </w:p>
    <w:p w14:paraId="11F9894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（4）建立7×24 小时技术支持热线，为采购人提供在线咨询、远程指导服务，及时解答系统操作、设备使用过程中的各类问题，远程指导无法解决的，立即安排工程师上门处理。</w:t>
      </w:r>
    </w:p>
    <w:p w14:paraId="725A1C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ACF7E8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42DC21A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49B497B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2A77EA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4A5B43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176FAF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872B5F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5C884C4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6F663E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18B1E38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6BD763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0B7D3D4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1.现场服务，整体验收合格后质量保证期为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i/>
          <w:iCs/>
          <w:sz w:val="24"/>
          <w:u w:val="single"/>
          <w:lang w:val="en-US" w:eastAsia="zh-CN"/>
        </w:rPr>
        <w:t xml:space="preserve">  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年，终身维护保养，保修期外维修只收取配件费，并提供常用配件、耗材清单及价格。负责终身软件升级。</w:t>
      </w:r>
    </w:p>
    <w:p w14:paraId="60FF7C30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2.在质量保证期内发生故障，维修响应时间≤</w:t>
      </w:r>
      <w:r>
        <w:rPr>
          <w:rFonts w:eastAsia="仿宋"/>
          <w:sz w:val="24"/>
          <w:u w:val="single"/>
        </w:rPr>
        <w:t xml:space="preserve"> 2 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12 </w:t>
      </w:r>
      <w:r>
        <w:rPr>
          <w:rFonts w:eastAsia="仿宋"/>
          <w:sz w:val="24"/>
        </w:rPr>
        <w:t>小时。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609F67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1DE576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450CB6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13F8106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72C15B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77C2D3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38C66D5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137753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5554F1A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01F0E4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5CE8AA0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6F8551A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（一）本项目验收费用，由乙方承担。</w:t>
      </w:r>
    </w:p>
    <w:p w14:paraId="2E5A725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（二）到货验收：货物到货后，由甲方与乙方共同进行外观验收，验收内容包括，外包装的完好性，货物品牌、规格、数量及产地与合同要求的一致性等。</w:t>
      </w:r>
    </w:p>
    <w:p w14:paraId="7CEDA82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（三）货物运行验收：乙方安装调试合格后，向甲方提出验收申请，甲方接到乙方验收申请后组织验收（必要时可聘请相应专家或委托相应部门验收），验收合格后，出具使用验收合格证明。</w:t>
      </w:r>
    </w:p>
    <w:p w14:paraId="350FDE29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</w:t>
      </w:r>
      <w:r>
        <w:rPr>
          <w:rFonts w:hint="eastAsia"/>
          <w:sz w:val="24"/>
          <w:lang w:val="en-US" w:eastAsia="zh-CN"/>
        </w:rPr>
        <w:t>交付使用一年后</w:t>
      </w:r>
      <w:r>
        <w:rPr>
          <w:rFonts w:eastAsia="仿宋"/>
          <w:sz w:val="24"/>
        </w:rPr>
        <w:t>满后，由乙方出具质保期运行质量报告，作为</w:t>
      </w:r>
      <w:r>
        <w:rPr>
          <w:rFonts w:hint="eastAsia"/>
          <w:sz w:val="24"/>
          <w:lang w:val="en-US" w:eastAsia="zh-CN"/>
        </w:rPr>
        <w:t>尾款</w:t>
      </w:r>
      <w:r>
        <w:rPr>
          <w:rFonts w:eastAsia="仿宋"/>
          <w:sz w:val="24"/>
        </w:rPr>
        <w:t>支付依据。若存在质量问题，由乙方承担相应责任及费用，甲方并有权从尾款中扣除。</w:t>
      </w:r>
    </w:p>
    <w:p w14:paraId="2551B7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（五）乙方向甲方提交产品供货过程中的所有资料，以便甲方日后管理和维护。</w:t>
      </w:r>
    </w:p>
    <w:p w14:paraId="73B9CE9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（六）验收依据：</w:t>
      </w:r>
    </w:p>
    <w:p w14:paraId="3D1FACA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1.本合同及附加文本；</w:t>
      </w:r>
    </w:p>
    <w:p w14:paraId="345559F3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2.招标文件、投标文件及澄清函；</w:t>
      </w:r>
    </w:p>
    <w:p w14:paraId="7BA5673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3、中国的相应标准、规范。</w:t>
      </w:r>
    </w:p>
    <w:p w14:paraId="56A9808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4AD98D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33AAA40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汉中</w:t>
      </w:r>
      <w:r>
        <w:rPr>
          <w:rFonts w:eastAsia="仿宋"/>
          <w:sz w:val="24"/>
          <w:u w:val="single"/>
        </w:rPr>
        <w:t xml:space="preserve">市 </w:t>
      </w:r>
      <w:r>
        <w:rPr>
          <w:rFonts w:eastAsia="仿宋"/>
          <w:sz w:val="24"/>
        </w:rPr>
        <w:t>仲裁委员会仲裁；</w:t>
      </w:r>
    </w:p>
    <w:p w14:paraId="2EC85F9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68CAB2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64B160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1AA890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29BD9F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4141E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15E1934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2D10CE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47B616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63C1559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2ED7B05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58D2890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299AB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54FA4F2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307F8C1F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color w:val="000000"/>
          <w:kern w:val="0"/>
          <w:sz w:val="24"/>
          <w:u w:val="single"/>
        </w:rPr>
        <w:t xml:space="preserve">     日</w:t>
      </w:r>
    </w:p>
    <w:p w14:paraId="6797AB67">
      <w:pPr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271"/>
        <w:gridCol w:w="2496"/>
        <w:gridCol w:w="2099"/>
      </w:tblGrid>
      <w:tr w14:paraId="52C89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0D898"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FBEB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7651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26CA7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619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0A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38B51A7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EFAA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6EA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E8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452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DB61F35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¥:</w:t>
            </w:r>
          </w:p>
        </w:tc>
      </w:tr>
      <w:tr w14:paraId="5006D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D38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9A4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493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11EE39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A43B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662D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0A5F43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D25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276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3B23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9F9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295C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5E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804FA6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D724F0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85AD8B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3DDBBB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1D1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63C76DD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31D826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使用单位验收意见：（盖章）</w:t>
            </w:r>
          </w:p>
          <w:p w14:paraId="53A8BF4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8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2F6ACC9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3C94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0B66BC6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41E6992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1A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2F39CBF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2F9ACBF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FA94F7E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A2CE6C3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月   日</w:t>
            </w:r>
          </w:p>
        </w:tc>
      </w:tr>
      <w:tr w14:paraId="36C4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742A23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采购内容</w:t>
            </w:r>
          </w:p>
        </w:tc>
      </w:tr>
      <w:tr w14:paraId="7F44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E333DE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1AE2E5AE">
      <w:pPr>
        <w:rPr>
          <w:rFonts w:hint="default" w:ascii="Times New Roman" w:hAnsi="Times New Roman" w:eastAsia="仿宋" w:cs="Times New Roman"/>
        </w:rPr>
      </w:pPr>
    </w:p>
    <w:p w14:paraId="3E91363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02264A39"/>
    <w:rsid w:val="0D4D096C"/>
    <w:rsid w:val="0FDE750E"/>
    <w:rsid w:val="11FA2C92"/>
    <w:rsid w:val="127647B5"/>
    <w:rsid w:val="1BAA4DED"/>
    <w:rsid w:val="25435283"/>
    <w:rsid w:val="2A54773F"/>
    <w:rsid w:val="2B0D17FB"/>
    <w:rsid w:val="2DF631D6"/>
    <w:rsid w:val="2F9C21A2"/>
    <w:rsid w:val="383605B4"/>
    <w:rsid w:val="3AA36E5C"/>
    <w:rsid w:val="3FB928FC"/>
    <w:rsid w:val="437454B8"/>
    <w:rsid w:val="45670E45"/>
    <w:rsid w:val="47525B10"/>
    <w:rsid w:val="47B37D01"/>
    <w:rsid w:val="49343AD6"/>
    <w:rsid w:val="4AF82B7C"/>
    <w:rsid w:val="4E5E4CF4"/>
    <w:rsid w:val="4FF34154"/>
    <w:rsid w:val="596355C9"/>
    <w:rsid w:val="5A513A05"/>
    <w:rsid w:val="5DBF491B"/>
    <w:rsid w:val="5EB14B7D"/>
    <w:rsid w:val="5EE95B87"/>
    <w:rsid w:val="603A63E4"/>
    <w:rsid w:val="6195412E"/>
    <w:rsid w:val="63AB62D4"/>
    <w:rsid w:val="69125F45"/>
    <w:rsid w:val="6C950624"/>
    <w:rsid w:val="711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5360</Words>
  <Characters>5480</Characters>
  <Lines>5</Lines>
  <Paragraphs>1</Paragraphs>
  <TotalTime>4</TotalTime>
  <ScaleCrop>false</ScaleCrop>
  <LinksUpToDate>false</LinksUpToDate>
  <CharactersWithSpaces>5871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招标四部</cp:lastModifiedBy>
  <dcterms:modified xsi:type="dcterms:W3CDTF">2026-06-09T02:20:36Z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F24151A35F544D8894AB459FED07A836_12</vt:lpwstr>
  </property>
</Properties>
</file>